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120"/>
      </w:tblGrid>
      <w:tr>
        <w:tc>
          <w:tcPr>
            <w:tcW w:type="dxa" w:w="11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5FA8" w:color="auto" w:val="clear"/>
            <w:tcMar>
              <w:top w:type="dxa" w:w="160"/>
              <w:left w:type="dxa" w:w="200"/>
              <w:bottom w:type="dxa" w:w="160"/>
              <w:right w:type="dxa" w:w="200"/>
            </w:tcMar>
            <w:vAlign w:val="center"/>
          </w:tcPr>
          <w:p>
            <w:pPr>
              <w:spacing w:after="30" w:before="40"/>
              <w:jc w:val="center"/>
            </w:pPr>
            <w:r>
              <w:rPr>
                <w:b/>
                <w:bCs/>
                <w:color w:val="FFFFFF"/>
                <w:sz w:val="46"/>
                <w:szCs w:val="46"/>
              </w:rPr>
              <w:t xml:space="preserve">NeuroPrint</w:t>
            </w:r>
          </w:p>
          <w:p>
            <w:pPr>
              <w:spacing w:after="60"/>
              <w:jc w:val="center"/>
            </w:pPr>
            <w:r>
              <w:rPr>
                <w:color w:val="EAF1FB"/>
                <w:sz w:val="22"/>
                <w:szCs w:val="22"/>
              </w:rPr>
              <w:t xml:space="preserve">Brain Region Reference Guide</w:t>
            </w:r>
          </w:p>
        </w:tc>
      </w:tr>
    </w:tbl>
    <w:p>
      <w:pPr>
        <w:spacing w:after="220" w:before="260"/>
        <w:jc w:val="center"/>
      </w:pPr>
      <w:r>
        <w:rPr>
          <w:i/>
          <w:iCs/>
          <w:color w:val="444444"/>
          <w:sz w:val="23"/>
          <w:szCs w:val="23"/>
        </w:rPr>
        <w:t xml:space="preserve">Trace the model with your finger, match what you feel to a region below, then flip the card for what it does.</w:t>
      </w:r>
    </w:p>
    <w:p>
      <w:pPr>
        <w:spacing w:after="120"/>
        <w:jc w:val="center"/>
      </w:pPr>
      <w:r>
        <w:drawing>
          <wp:inline distT="0" distB="0" distL="0" distR="0">
            <wp:extent cx="6953250" cy="63150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631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before="500"/>
        <w:jc w:val="center"/>
      </w:pPr>
      <w:r>
        <w:rPr>
          <w:color w:val="999999"/>
          <w:sz w:val="14"/>
          <w:szCs w:val="14"/>
        </w:rPr>
        <w:t xml:space="preserve">Diagram adapted from Blausen.com staff, Blausen Medical Communications — CC BY 3.0</w:t>
      </w:r>
    </w:p>
    <w:p>
      <w:pPr>
        <w:spacing w:after="0" w:before="260"/>
        <w:jc w:val="center"/>
      </w:pPr>
      <w:r>
        <w:rPr>
          <w:b/>
          <w:bCs/>
          <w:color w:val="1F5FA8"/>
          <w:sz w:val="24"/>
          <w:szCs w:val="24"/>
        </w:rPr>
        <w:t xml:space="preserve">neuroprint.info</w:t>
      </w:r>
    </w:p>
    <w:p>
      <w:pPr>
        <w:spacing w:before="40"/>
        <w:jc w:val="center"/>
      </w:pPr>
      <w:r>
        <w:rPr>
          <w:color w:val="777777"/>
          <w:sz w:val="18"/>
          <w:szCs w:val="18"/>
        </w:rPr>
        <w:t xml:space="preserve">Free 3D-printed brain models &amp; teaching guides for schools and clinics</w:t>
      </w:r>
    </w:p>
    <w:p>
      <w:pPr>
        <w:sectPr>
          <w:pgSz w:w="12240" w:h="15840" w:orient="portrait"/>
          <w:pgMar w:top="560" w:right="560" w:bottom="560" w:left="560" w:header="708" w:footer="708" w:gutter="0"/>
          <w:pgNumType/>
          <w:docGrid w:linePitch="360"/>
        </w:sectPr>
      </w:pPr>
    </w:p>
    <w:tbl>
      <w:tblPr>
        <w:tblW w:type="dxa" w:w="11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120"/>
      </w:tblGrid>
      <w:tr>
        <w:tc>
          <w:tcPr>
            <w:tcW w:type="dxa" w:w="11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5FA8" w:color="auto" w:val="clear"/>
            <w:tcMar>
              <w:top w:type="dxa" w:w="160"/>
              <w:left w:type="dxa" w:w="200"/>
              <w:bottom w:type="dxa" w:w="160"/>
              <w:right w:type="dxa" w:w="20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b/>
                <w:bCs/>
                <w:color w:val="FFFFFF"/>
                <w:sz w:val="46"/>
                <w:szCs w:val="46"/>
              </w:rPr>
              <w:t xml:space="preserve">Brain Regions at a Glance</w:t>
            </w:r>
          </w:p>
        </w:tc>
      </w:tr>
    </w:tbl>
    <w:tbl>
      <w:tblPr>
        <w:tblW w:type="dxa" w:w="11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3200"/>
        <w:gridCol w:w="3870"/>
        <w:gridCol w:w="3870"/>
      </w:tblGrid>
      <w:tr>
        <w:trPr>
          <w:trHeight w:val="1080" w:hRule="atLeast"/>
        </w:trPr>
        <w:tc>
          <w:tcPr>
            <w:tcW w:type="dxa" w:w="1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E89A8" w:color="auto" w:val="clear"/>
            <w:vAlign w:val="center"/>
          </w:tcPr>
          <w:p>
            <w:r>
              <w:rPr>
                <w:sz w:val="2"/>
                <w:szCs w:val="2"/>
              </w:rPr>
              <w:t xml:space="preserve"/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color="auto" w:val="clear"/>
            <w:tcMar>
              <w:top w:type="dxa" w:w="200"/>
              <w:left w:type="dxa" w:w="220"/>
              <w:bottom w:type="dxa" w:w="200"/>
              <w:right w:type="dxa" w:w="160"/>
            </w:tcMar>
            <w:vAlign w:val="center"/>
          </w:tcPr>
          <w:p>
            <w:r>
              <w:rPr>
                <w:b/>
                <w:bCs/>
                <w:color w:val="1A1A1A"/>
                <w:sz w:val="24"/>
                <w:szCs w:val="24"/>
              </w:rPr>
              <w:t xml:space="preserve">Frontal Lobe</w:t>
            </w:r>
          </w:p>
        </w:tc>
        <w:tc>
          <w:tcPr>
            <w:tcW w:type="dxa" w:w="38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color="auto" w:val="clear"/>
            <w:tcMar>
              <w:top w:type="dxa" w:w="200"/>
              <w:left w:type="dxa" w:w="160"/>
              <w:bottom w:type="dxa" w:w="200"/>
              <w:right w:type="dxa" w:w="200"/>
            </w:tcMar>
            <w:vAlign w:val="center"/>
          </w:tcPr>
          <w:p>
            <w:pPr>
              <w:jc w:val="left"/>
            </w:pPr>
            <w:r>
              <w:rPr>
                <w:color w:val="333333"/>
                <w:sz w:val="20"/>
                <w:szCs w:val="20"/>
              </w:rPr>
              <w:t xml:space="preserve">Decision-making, planning, voluntary movement, and personality.</w:t>
            </w:r>
          </w:p>
        </w:tc>
        <w:tc>
          <w:tcPr>
            <w:tcW w:type="dxa" w:w="38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color="auto" w:val="clear"/>
            <w:tcMar>
              <w:top w:type="dxa" w:w="200"/>
              <w:left w:type="dxa" w:w="160"/>
              <w:bottom w:type="dxa" w:w="200"/>
              <w:right w:type="dxa" w:w="200"/>
            </w:tcMar>
            <w:vAlign w:val="center"/>
          </w:tcPr>
          <w:p>
            <w:pPr>
              <w:jc w:val="left"/>
            </w:pPr>
            <w:r>
              <w:rPr>
                <w:color w:val="333333"/>
                <w:sz w:val="20"/>
                <w:szCs w:val="20"/>
              </w:rPr>
              <w:t xml:space="preserve">The last brain region to fully mature — development continues until about age 25.</w:t>
            </w:r>
          </w:p>
        </w:tc>
      </w:tr>
    </w:tbl>
    <w:tbl>
      <w:tblPr>
        <w:tblW w:type="dxa" w:w="11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3200"/>
        <w:gridCol w:w="3870"/>
        <w:gridCol w:w="3870"/>
      </w:tblGrid>
      <w:tr>
        <w:trPr>
          <w:trHeight w:val="1080" w:hRule="atLeast"/>
        </w:trPr>
        <w:tc>
          <w:tcPr>
            <w:tcW w:type="dxa" w:w="1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3558" w:color="auto" w:val="clear"/>
            <w:vAlign w:val="center"/>
          </w:tcPr>
          <w:p>
            <w:r>
              <w:rPr>
                <w:sz w:val="2"/>
                <w:szCs w:val="2"/>
              </w:rPr>
              <w:t xml:space="preserve"/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6FB" w:color="auto" w:val="clear"/>
            <w:tcMar>
              <w:top w:type="dxa" w:w="200"/>
              <w:left w:type="dxa" w:w="220"/>
              <w:bottom w:type="dxa" w:w="200"/>
              <w:right w:type="dxa" w:w="160"/>
            </w:tcMar>
            <w:vAlign w:val="center"/>
          </w:tcPr>
          <w:p>
            <w:r>
              <w:rPr>
                <w:b/>
                <w:bCs/>
                <w:color w:val="1A1A1A"/>
                <w:sz w:val="24"/>
                <w:szCs w:val="24"/>
              </w:rPr>
              <w:t xml:space="preserve">Motor Cortex</w:t>
            </w:r>
            <w:r>
              <w:rPr>
                <w:i/>
                <w:iCs/>
                <w:color w:val="777777"/>
                <w:sz w:val="16"/>
                <w:szCs w:val="16"/>
              </w:rPr>
              <w:t xml:space="preserve">  (Precentral Gyrus)</w:t>
            </w:r>
          </w:p>
        </w:tc>
        <w:tc>
          <w:tcPr>
            <w:tcW w:type="dxa" w:w="38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6FB" w:color="auto" w:val="clear"/>
            <w:tcMar>
              <w:top w:type="dxa" w:w="200"/>
              <w:left w:type="dxa" w:w="160"/>
              <w:bottom w:type="dxa" w:w="200"/>
              <w:right w:type="dxa" w:w="200"/>
            </w:tcMar>
            <w:vAlign w:val="center"/>
          </w:tcPr>
          <w:p>
            <w:pPr>
              <w:jc w:val="left"/>
            </w:pPr>
            <w:r>
              <w:rPr>
                <w:color w:val="333333"/>
                <w:sz w:val="20"/>
                <w:szCs w:val="20"/>
              </w:rPr>
              <w:t xml:space="preserve">A strip along the back of the frontal lobe that plans and sends commands for voluntary muscle movement.</w:t>
            </w:r>
          </w:p>
        </w:tc>
        <w:tc>
          <w:tcPr>
            <w:tcW w:type="dxa" w:w="38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6FB" w:color="auto" w:val="clear"/>
            <w:tcMar>
              <w:top w:type="dxa" w:w="200"/>
              <w:left w:type="dxa" w:w="160"/>
              <w:bottom w:type="dxa" w:w="200"/>
              <w:right w:type="dxa" w:w="200"/>
            </w:tcMar>
            <w:vAlign w:val="center"/>
          </w:tcPr>
          <w:p>
            <w:pPr>
              <w:jc w:val="left"/>
            </w:pPr>
            <w:r>
              <w:rPr>
                <w:color w:val="333333"/>
                <w:sz w:val="20"/>
                <w:szCs w:val="20"/>
              </w:rPr>
              <w:t xml:space="preserve">Body parts are mapped here by control precision, not size — hands and face take up far more space than the torso.</w:t>
            </w:r>
          </w:p>
        </w:tc>
      </w:tr>
    </w:tbl>
    <w:tbl>
      <w:tblPr>
        <w:tblW w:type="dxa" w:w="11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3200"/>
        <w:gridCol w:w="3870"/>
        <w:gridCol w:w="3870"/>
      </w:tblGrid>
      <w:tr>
        <w:trPr>
          <w:trHeight w:val="1080" w:hRule="atLeast"/>
        </w:trPr>
        <w:tc>
          <w:tcPr>
            <w:tcW w:type="dxa" w:w="1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D69DE" w:color="auto" w:val="clear"/>
            <w:vAlign w:val="center"/>
          </w:tcPr>
          <w:p>
            <w:r>
              <w:rPr>
                <w:sz w:val="2"/>
                <w:szCs w:val="2"/>
              </w:rPr>
              <w:t xml:space="preserve"/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color="auto" w:val="clear"/>
            <w:tcMar>
              <w:top w:type="dxa" w:w="200"/>
              <w:left w:type="dxa" w:w="220"/>
              <w:bottom w:type="dxa" w:w="200"/>
              <w:right w:type="dxa" w:w="160"/>
            </w:tcMar>
            <w:vAlign w:val="center"/>
          </w:tcPr>
          <w:p>
            <w:r>
              <w:rPr>
                <w:b/>
                <w:bCs/>
                <w:color w:val="1A1A1A"/>
                <w:sz w:val="24"/>
                <w:szCs w:val="24"/>
              </w:rPr>
              <w:t xml:space="preserve">Somatosensory Cortex</w:t>
            </w:r>
            <w:r>
              <w:rPr>
                <w:i/>
                <w:iCs/>
                <w:color w:val="777777"/>
                <w:sz w:val="16"/>
                <w:szCs w:val="16"/>
              </w:rPr>
              <w:t xml:space="preserve">  (Postcentral Gyrus)</w:t>
            </w:r>
          </w:p>
        </w:tc>
        <w:tc>
          <w:tcPr>
            <w:tcW w:type="dxa" w:w="38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color="auto" w:val="clear"/>
            <w:tcMar>
              <w:top w:type="dxa" w:w="200"/>
              <w:left w:type="dxa" w:w="160"/>
              <w:bottom w:type="dxa" w:w="200"/>
              <w:right w:type="dxa" w:w="200"/>
            </w:tcMar>
            <w:vAlign w:val="center"/>
          </w:tcPr>
          <w:p>
            <w:pPr>
              <w:jc w:val="left"/>
            </w:pPr>
            <w:r>
              <w:rPr>
                <w:color w:val="333333"/>
                <w:sz w:val="20"/>
                <w:szCs w:val="20"/>
              </w:rPr>
              <w:t xml:space="preserve">A strip at the front of the parietal lobe that processes touch, temperature, and pressure from the body.</w:t>
            </w:r>
          </w:p>
        </w:tc>
        <w:tc>
          <w:tcPr>
            <w:tcW w:type="dxa" w:w="38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color="auto" w:val="clear"/>
            <w:tcMar>
              <w:top w:type="dxa" w:w="200"/>
              <w:left w:type="dxa" w:w="160"/>
              <w:bottom w:type="dxa" w:w="200"/>
              <w:right w:type="dxa" w:w="200"/>
            </w:tcMar>
            <w:vAlign w:val="center"/>
          </w:tcPr>
          <w:p>
            <w:pPr>
              <w:jc w:val="left"/>
            </w:pPr>
            <w:r>
              <w:rPr>
                <w:color w:val="333333"/>
                <w:sz w:val="20"/>
                <w:szCs w:val="20"/>
              </w:rPr>
              <w:t xml:space="preserve">It sits directly behind the motor cortex, so ‘feel’ and ‘move’ signals are processed almost side by side.</w:t>
            </w:r>
          </w:p>
        </w:tc>
      </w:tr>
    </w:tbl>
    <w:tbl>
      <w:tblPr>
        <w:tblW w:type="dxa" w:w="11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3200"/>
        <w:gridCol w:w="3870"/>
        <w:gridCol w:w="3870"/>
      </w:tblGrid>
      <w:tr>
        <w:trPr>
          <w:trHeight w:val="1080" w:hRule="atLeast"/>
        </w:trPr>
        <w:tc>
          <w:tcPr>
            <w:tcW w:type="dxa" w:w="1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8BAEFB" w:color="auto" w:val="clear"/>
            <w:vAlign w:val="center"/>
          </w:tcPr>
          <w:p>
            <w:r>
              <w:rPr>
                <w:sz w:val="2"/>
                <w:szCs w:val="2"/>
              </w:rPr>
              <w:t xml:space="preserve"/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6FB" w:color="auto" w:val="clear"/>
            <w:tcMar>
              <w:top w:type="dxa" w:w="200"/>
              <w:left w:type="dxa" w:w="220"/>
              <w:bottom w:type="dxa" w:w="200"/>
              <w:right w:type="dxa" w:w="160"/>
            </w:tcMar>
            <w:vAlign w:val="center"/>
          </w:tcPr>
          <w:p>
            <w:r>
              <w:rPr>
                <w:b/>
                <w:bCs/>
                <w:color w:val="1A1A1A"/>
                <w:sz w:val="24"/>
                <w:szCs w:val="24"/>
              </w:rPr>
              <w:t xml:space="preserve">Parietal Lobe</w:t>
            </w:r>
          </w:p>
        </w:tc>
        <w:tc>
          <w:tcPr>
            <w:tcW w:type="dxa" w:w="38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6FB" w:color="auto" w:val="clear"/>
            <w:tcMar>
              <w:top w:type="dxa" w:w="200"/>
              <w:left w:type="dxa" w:w="160"/>
              <w:bottom w:type="dxa" w:w="200"/>
              <w:right w:type="dxa" w:w="200"/>
            </w:tcMar>
            <w:vAlign w:val="center"/>
          </w:tcPr>
          <w:p>
            <w:pPr>
              <w:jc w:val="left"/>
            </w:pPr>
            <w:r>
              <w:rPr>
                <w:color w:val="333333"/>
                <w:sz w:val="20"/>
                <w:szCs w:val="20"/>
              </w:rPr>
              <w:t xml:space="preserve">Integrates sensory information and supports spatial awareness and navigation.</w:t>
            </w:r>
          </w:p>
        </w:tc>
        <w:tc>
          <w:tcPr>
            <w:tcW w:type="dxa" w:w="38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6FB" w:color="auto" w:val="clear"/>
            <w:tcMar>
              <w:top w:type="dxa" w:w="200"/>
              <w:left w:type="dxa" w:w="160"/>
              <w:bottom w:type="dxa" w:w="200"/>
              <w:right w:type="dxa" w:w="200"/>
            </w:tcMar>
            <w:vAlign w:val="center"/>
          </w:tcPr>
          <w:p>
            <w:pPr>
              <w:jc w:val="left"/>
            </w:pPr>
            <w:r>
              <w:rPr>
                <w:color w:val="333333"/>
                <w:sz w:val="20"/>
                <w:szCs w:val="20"/>
              </w:rPr>
              <w:t xml:space="preserve">Damage here can cause “neglect,” where a person stops noticing one whole side of their body or surroundings.</w:t>
            </w:r>
          </w:p>
        </w:tc>
      </w:tr>
    </w:tbl>
    <w:tbl>
      <w:tblPr>
        <w:tblW w:type="dxa" w:w="11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3200"/>
        <w:gridCol w:w="3870"/>
        <w:gridCol w:w="3870"/>
      </w:tblGrid>
      <w:tr>
        <w:trPr>
          <w:trHeight w:val="1080" w:hRule="atLeast"/>
        </w:trPr>
        <w:tc>
          <w:tcPr>
            <w:tcW w:type="dxa" w:w="1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0B83B" w:color="auto" w:val="clear"/>
            <w:vAlign w:val="center"/>
          </w:tcPr>
          <w:p>
            <w:r>
              <w:rPr>
                <w:sz w:val="2"/>
                <w:szCs w:val="2"/>
              </w:rPr>
              <w:t xml:space="preserve"/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color="auto" w:val="clear"/>
            <w:tcMar>
              <w:top w:type="dxa" w:w="200"/>
              <w:left w:type="dxa" w:w="220"/>
              <w:bottom w:type="dxa" w:w="200"/>
              <w:right w:type="dxa" w:w="160"/>
            </w:tcMar>
            <w:vAlign w:val="center"/>
          </w:tcPr>
          <w:p>
            <w:r>
              <w:rPr>
                <w:b/>
                <w:bCs/>
                <w:color w:val="1A1A1A"/>
                <w:sz w:val="24"/>
                <w:szCs w:val="24"/>
              </w:rPr>
              <w:t xml:space="preserve">Temporal Lobe</w:t>
            </w:r>
          </w:p>
        </w:tc>
        <w:tc>
          <w:tcPr>
            <w:tcW w:type="dxa" w:w="38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color="auto" w:val="clear"/>
            <w:tcMar>
              <w:top w:type="dxa" w:w="200"/>
              <w:left w:type="dxa" w:w="160"/>
              <w:bottom w:type="dxa" w:w="200"/>
              <w:right w:type="dxa" w:w="200"/>
            </w:tcMar>
            <w:vAlign w:val="center"/>
          </w:tcPr>
          <w:p>
            <w:pPr>
              <w:jc w:val="left"/>
            </w:pPr>
            <w:r>
              <w:rPr>
                <w:color w:val="333333"/>
                <w:sz w:val="20"/>
                <w:szCs w:val="20"/>
              </w:rPr>
              <w:t xml:space="preserve">Processes hearing and language comprehension, and supports memory formation.</w:t>
            </w:r>
          </w:p>
        </w:tc>
        <w:tc>
          <w:tcPr>
            <w:tcW w:type="dxa" w:w="38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color="auto" w:val="clear"/>
            <w:tcMar>
              <w:top w:type="dxa" w:w="200"/>
              <w:left w:type="dxa" w:w="160"/>
              <w:bottom w:type="dxa" w:w="200"/>
              <w:right w:type="dxa" w:w="200"/>
            </w:tcMar>
            <w:vAlign w:val="center"/>
          </w:tcPr>
          <w:p>
            <w:pPr>
              <w:jc w:val="left"/>
            </w:pPr>
            <w:r>
              <w:rPr>
                <w:color w:val="333333"/>
                <w:sz w:val="20"/>
                <w:szCs w:val="20"/>
              </w:rPr>
              <w:t xml:space="preserve">The hippocampus, essential for forming new memories, is tucked inside this lobe.</w:t>
            </w:r>
          </w:p>
        </w:tc>
      </w:tr>
    </w:tbl>
    <w:tbl>
      <w:tblPr>
        <w:tblW w:type="dxa" w:w="11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3200"/>
        <w:gridCol w:w="3870"/>
        <w:gridCol w:w="3870"/>
      </w:tblGrid>
      <w:tr>
        <w:trPr>
          <w:trHeight w:val="1080" w:hRule="atLeast"/>
        </w:trPr>
        <w:tc>
          <w:tcPr>
            <w:tcW w:type="dxa" w:w="1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7BB85D" w:color="auto" w:val="clear"/>
            <w:vAlign w:val="center"/>
          </w:tcPr>
          <w:p>
            <w:r>
              <w:rPr>
                <w:sz w:val="2"/>
                <w:szCs w:val="2"/>
              </w:rPr>
              <w:t xml:space="preserve"/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6FB" w:color="auto" w:val="clear"/>
            <w:tcMar>
              <w:top w:type="dxa" w:w="200"/>
              <w:left w:type="dxa" w:w="220"/>
              <w:bottom w:type="dxa" w:w="200"/>
              <w:right w:type="dxa" w:w="160"/>
            </w:tcMar>
            <w:vAlign w:val="center"/>
          </w:tcPr>
          <w:p>
            <w:r>
              <w:rPr>
                <w:b/>
                <w:bCs/>
                <w:color w:val="1A1A1A"/>
                <w:sz w:val="24"/>
                <w:szCs w:val="24"/>
              </w:rPr>
              <w:t xml:space="preserve">Occipital Lobe</w:t>
            </w:r>
          </w:p>
        </w:tc>
        <w:tc>
          <w:tcPr>
            <w:tcW w:type="dxa" w:w="38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6FB" w:color="auto" w:val="clear"/>
            <w:tcMar>
              <w:top w:type="dxa" w:w="200"/>
              <w:left w:type="dxa" w:w="160"/>
              <w:bottom w:type="dxa" w:w="200"/>
              <w:right w:type="dxa" w:w="200"/>
            </w:tcMar>
            <w:vAlign w:val="center"/>
          </w:tcPr>
          <w:p>
            <w:pPr>
              <w:jc w:val="left"/>
            </w:pPr>
            <w:r>
              <w:rPr>
                <w:color w:val="333333"/>
                <w:sz w:val="20"/>
                <w:szCs w:val="20"/>
              </w:rPr>
              <w:t xml:space="preserve">The brain's vision-processing center.</w:t>
            </w:r>
          </w:p>
        </w:tc>
        <w:tc>
          <w:tcPr>
            <w:tcW w:type="dxa" w:w="38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6FB" w:color="auto" w:val="clear"/>
            <w:tcMar>
              <w:top w:type="dxa" w:w="200"/>
              <w:left w:type="dxa" w:w="160"/>
              <w:bottom w:type="dxa" w:w="200"/>
              <w:right w:type="dxa" w:w="200"/>
            </w:tcMar>
            <w:vAlign w:val="center"/>
          </w:tcPr>
          <w:p>
            <w:pPr>
              <w:jc w:val="left"/>
            </w:pPr>
            <w:r>
              <w:rPr>
                <w:color w:val="333333"/>
                <w:sz w:val="20"/>
                <w:szCs w:val="20"/>
              </w:rPr>
              <w:t xml:space="preserve">It sits at the very back of the brain, farthest from the eyes — yet it's where sight is actually “seen.”</w:t>
            </w:r>
          </w:p>
        </w:tc>
      </w:tr>
    </w:tbl>
    <w:tbl>
      <w:tblPr>
        <w:tblW w:type="dxa" w:w="11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3200"/>
        <w:gridCol w:w="3870"/>
        <w:gridCol w:w="3870"/>
      </w:tblGrid>
      <w:tr>
        <w:trPr>
          <w:trHeight w:val="1080" w:hRule="atLeast"/>
        </w:trPr>
        <w:tc>
          <w:tcPr>
            <w:tcW w:type="dxa" w:w="1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35213" w:color="auto" w:val="clear"/>
            <w:vAlign w:val="center"/>
          </w:tcPr>
          <w:p>
            <w:r>
              <w:rPr>
                <w:sz w:val="2"/>
                <w:szCs w:val="2"/>
              </w:rPr>
              <w:t xml:space="preserve"/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color="auto" w:val="clear"/>
            <w:tcMar>
              <w:top w:type="dxa" w:w="200"/>
              <w:left w:type="dxa" w:w="220"/>
              <w:bottom w:type="dxa" w:w="200"/>
              <w:right w:type="dxa" w:w="160"/>
            </w:tcMar>
            <w:vAlign w:val="center"/>
          </w:tcPr>
          <w:p>
            <w:r>
              <w:rPr>
                <w:b/>
                <w:bCs/>
                <w:color w:val="1A1A1A"/>
                <w:sz w:val="24"/>
                <w:szCs w:val="24"/>
              </w:rPr>
              <w:t xml:space="preserve">Cerebellum</w:t>
            </w:r>
          </w:p>
        </w:tc>
        <w:tc>
          <w:tcPr>
            <w:tcW w:type="dxa" w:w="38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color="auto" w:val="clear"/>
            <w:tcMar>
              <w:top w:type="dxa" w:w="200"/>
              <w:left w:type="dxa" w:w="160"/>
              <w:bottom w:type="dxa" w:w="200"/>
              <w:right w:type="dxa" w:w="200"/>
            </w:tcMar>
            <w:vAlign w:val="center"/>
          </w:tcPr>
          <w:p>
            <w:pPr>
              <w:jc w:val="left"/>
            </w:pPr>
            <w:r>
              <w:rPr>
                <w:color w:val="333333"/>
                <w:sz w:val="20"/>
                <w:szCs w:val="20"/>
              </w:rPr>
              <w:t xml:space="preserve">Coordinates balance, posture, and smooth, precise movement.</w:t>
            </w:r>
          </w:p>
        </w:tc>
        <w:tc>
          <w:tcPr>
            <w:tcW w:type="dxa" w:w="38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color="auto" w:val="clear"/>
            <w:tcMar>
              <w:top w:type="dxa" w:w="200"/>
              <w:left w:type="dxa" w:w="160"/>
              <w:bottom w:type="dxa" w:w="200"/>
              <w:right w:type="dxa" w:w="200"/>
            </w:tcMar>
            <w:vAlign w:val="center"/>
          </w:tcPr>
          <w:p>
            <w:pPr>
              <w:jc w:val="left"/>
            </w:pPr>
            <w:r>
              <w:rPr>
                <w:color w:val="333333"/>
                <w:sz w:val="20"/>
                <w:szCs w:val="20"/>
              </w:rPr>
              <w:t xml:space="preserve">It's only about 10% of the brain's volume but holds more than half of all its neurons.</w:t>
            </w:r>
          </w:p>
        </w:tc>
      </w:tr>
    </w:tbl>
    <w:tbl>
      <w:tblPr>
        <w:tblW w:type="dxa" w:w="11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3200"/>
        <w:gridCol w:w="3870"/>
        <w:gridCol w:w="3870"/>
      </w:tblGrid>
      <w:tr>
        <w:trPr>
          <w:trHeight w:val="1080" w:hRule="atLeast"/>
        </w:trPr>
        <w:tc>
          <w:tcPr>
            <w:tcW w:type="dxa" w:w="1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6881F" w:color="auto" w:val="clear"/>
            <w:vAlign w:val="center"/>
          </w:tcPr>
          <w:p>
            <w:r>
              <w:rPr>
                <w:sz w:val="2"/>
                <w:szCs w:val="2"/>
              </w:rPr>
              <w:t xml:space="preserve"/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6FB" w:color="auto" w:val="clear"/>
            <w:tcMar>
              <w:top w:type="dxa" w:w="200"/>
              <w:left w:type="dxa" w:w="220"/>
              <w:bottom w:type="dxa" w:w="200"/>
              <w:right w:type="dxa" w:w="160"/>
            </w:tcMar>
            <w:vAlign w:val="center"/>
          </w:tcPr>
          <w:p>
            <w:r>
              <w:rPr>
                <w:b/>
                <w:bCs/>
                <w:color w:val="1A1A1A"/>
                <w:sz w:val="24"/>
                <w:szCs w:val="24"/>
              </w:rPr>
              <w:t xml:space="preserve">Brain Stem</w:t>
            </w:r>
            <w:r>
              <w:rPr>
                <w:i/>
                <w:iCs/>
                <w:color w:val="777777"/>
                <w:sz w:val="16"/>
                <w:szCs w:val="16"/>
              </w:rPr>
              <w:t xml:space="preserve">  (Pons &amp; Medulla)</w:t>
            </w:r>
          </w:p>
        </w:tc>
        <w:tc>
          <w:tcPr>
            <w:tcW w:type="dxa" w:w="38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6FB" w:color="auto" w:val="clear"/>
            <w:tcMar>
              <w:top w:type="dxa" w:w="200"/>
              <w:left w:type="dxa" w:w="160"/>
              <w:bottom w:type="dxa" w:w="200"/>
              <w:right w:type="dxa" w:w="200"/>
            </w:tcMar>
            <w:vAlign w:val="center"/>
          </w:tcPr>
          <w:p>
            <w:pPr>
              <w:jc w:val="left"/>
            </w:pPr>
            <w:r>
              <w:rPr>
                <w:color w:val="333333"/>
                <w:sz w:val="20"/>
                <w:szCs w:val="20"/>
              </w:rPr>
              <w:t xml:space="preserve">Controls life-sustaining functions like breathing, heart rate, and sleep-wake cycles.</w:t>
            </w:r>
          </w:p>
        </w:tc>
        <w:tc>
          <w:tcPr>
            <w:tcW w:type="dxa" w:w="38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6FB" w:color="auto" w:val="clear"/>
            <w:tcMar>
              <w:top w:type="dxa" w:w="200"/>
              <w:left w:type="dxa" w:w="160"/>
              <w:bottom w:type="dxa" w:w="200"/>
              <w:right w:type="dxa" w:w="200"/>
            </w:tcMar>
            <w:vAlign w:val="center"/>
          </w:tcPr>
          <w:p>
            <w:pPr>
              <w:jc w:val="left"/>
            </w:pPr>
            <w:r>
              <w:rPr>
                <w:color w:val="333333"/>
                <w:sz w:val="20"/>
                <w:szCs w:val="20"/>
              </w:rPr>
              <w:t xml:space="preserve">The oldest part of the brain evolutionarily — often called the brain's “life-support center.”</w:t>
            </w:r>
          </w:p>
        </w:tc>
      </w:tr>
    </w:tbl>
    <w:p>
      <w:pPr>
        <w:spacing w:after="100" w:before="380"/>
      </w:pPr>
      <w:r>
        <w:rPr>
          <w:b/>
          <w:bCs/>
          <w:color w:val="1F5FA8"/>
          <w:sz w:val="25"/>
          <w:szCs w:val="25"/>
        </w:rPr>
        <w:t xml:space="preserve">Why a model AND a card?</w:t>
      </w:r>
    </w:p>
    <w:p>
      <w:pPr>
        <w:spacing w:after="300"/>
      </w:pPr>
      <w:r>
        <w:rPr>
          <w:color w:val="333333"/>
          <w:sz w:val="21"/>
          <w:szCs w:val="21"/>
        </w:rPr>
        <w:t xml:space="preserve">Learning research shows that pairing physical, hands-on exploration with a written reference strengthens retention more than either alone. Touching a structure builds a spatial memory of where it is; reading its name and function builds a verbal one — using this model and this card together links the two, so the information sticks from more than one direction.</w:t>
      </w:r>
    </w:p>
    <w:tbl>
      <w:tblPr>
        <w:tblW w:type="dxa" w:w="11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120"/>
      </w:tblGrid>
      <w:tr>
        <w:tc>
          <w:tcPr>
            <w:tcW w:type="dxa" w:w="11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54A85" w:color="auto" w:val="clear"/>
            <w:tcMar>
              <w:top w:type="dxa" w:w="220"/>
              <w:left w:type="dxa" w:w="260"/>
              <w:bottom w:type="dxa" w:w="220"/>
              <w:right w:type="dxa" w:w="260"/>
            </w:tcMar>
            <w:vAlign w:val="center"/>
          </w:tcPr>
          <w:tbl>
            <w:tblPr>
              <w:tblW w:type="dxa" w:w="106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9000"/>
              <w:gridCol w:w="1600"/>
            </w:tblGrid>
            <w:tr>
              <w:tc>
                <w:tcPr>
                  <w:tcW w:type="dxa" w:w="90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vAlign w:val="center"/>
                </w:tcPr>
                <w:p>
                  <w:pPr>
                    <w:spacing w:after="60"/>
                  </w:pPr>
                  <w:r>
                    <w:rPr>
                      <w:b/>
                      <w:bCs/>
                      <w:color w:val="FFFFFF"/>
                      <w:sz w:val="27"/>
                      <w:szCs w:val="27"/>
                    </w:rPr>
                    <w:t xml:space="preserve">NeuroPrint</w:t>
                  </w:r>
                </w:p>
                <w:p>
                  <w:pPr>
                    <w:spacing w:after="60"/>
                  </w:pPr>
                  <w:r>
                    <w:rPr>
                      <w:color w:val="EAF1FB"/>
                      <w:sz w:val="20"/>
                      <w:szCs w:val="20"/>
                    </w:rPr>
                    <w:t xml:space="preserve">Free 3D-printed brain models &amp; teaching guides for schools and clinics.</w:t>
                  </w:r>
                </w:p>
                <w:p>
                  <w:r>
                    <w:rPr>
                      <w:color w:val="EAF1FB"/>
                      <w:sz w:val="20"/>
                      <w:szCs w:val="20"/>
                    </w:rPr>
                    <w:t xml:space="preserve">Want more models, worksheets, or resources for your classroom? Visit 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 xml:space="preserve">neuroprint.info</w:t>
                  </w:r>
                  <w:r>
                    <w:rPr>
                      <w:color w:val="EAF1FB"/>
                      <w:sz w:val="20"/>
                      <w:szCs w:val="20"/>
                    </w:rPr>
                    <w:t xml:space="preserve"> to request materials.</w:t>
                  </w:r>
                </w:p>
              </w:tc>
              <w:tc>
                <w:tcPr>
                  <w:tcW w:type="dxa" w:w="16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vAlign w:val="center"/>
                </w:tcPr>
                <w:p>
                  <w:pPr>
                    <w:jc w:val="center"/>
                  </w:pPr>
                  <w:r>
                    <w:drawing>
                      <wp:inline distT="0" distB="0" distL="0" distR="0">
                        <wp:extent cx="1047750" cy="1047750"/>
                        <wp:effectExtent t="0" r="0" b="0" l="0"/>
                        <wp:docPr id="1" name="" descr="" titl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47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w:sectPr>
      <w:pgSz w:w="12240" w:h="15840" w:orient="portrait"/>
      <w:pgMar w:top="560" w:right="560" w:bottom="560" w:left="5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6ec18612cf4e31aba13d5537062cba5b147b3a0.png"/><Relationship Id="rId8" Type="http://schemas.openxmlformats.org/officeDocument/2006/relationships/image" Target="media/896b618f457ed9c1e9fd97db863d864b50b972a1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2026-07-18T21:58:09.524Z</dcterms:created>
  <dcterms:modified xsi:type="dcterms:W3CDTF">2026-07-18T21:58:09.532Z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